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53A00" w14:textId="77777777" w:rsidR="00426B77" w:rsidRPr="00757C6E" w:rsidRDefault="00426B77" w:rsidP="00426B77">
      <w:pPr>
        <w:spacing w:after="0"/>
        <w:jc w:val="right"/>
        <w:rPr>
          <w:rFonts w:eastAsia="Times New Roman" w:cs="Times New Roman"/>
          <w:sz w:val="26"/>
          <w:szCs w:val="26"/>
          <w:lang w:val="uk-UA" w:eastAsia="ru-RU"/>
        </w:rPr>
      </w:pPr>
      <w:r w:rsidRPr="00757C6E">
        <w:rPr>
          <w:rFonts w:eastAsia="Times New Roman" w:cs="Times New Roman"/>
          <w:sz w:val="26"/>
          <w:szCs w:val="26"/>
          <w:lang w:val="uk-UA" w:eastAsia="ru-RU"/>
        </w:rPr>
        <w:t>Додаток 2</w:t>
      </w:r>
    </w:p>
    <w:p w14:paraId="16578F6B" w14:textId="783EE431" w:rsidR="00AE6C1B" w:rsidRPr="00757C6E" w:rsidRDefault="00426B77" w:rsidP="00426B77">
      <w:pPr>
        <w:spacing w:after="0"/>
        <w:jc w:val="right"/>
        <w:rPr>
          <w:rFonts w:eastAsia="Times New Roman" w:cs="Times New Roman"/>
          <w:sz w:val="26"/>
          <w:szCs w:val="26"/>
          <w:lang w:val="uk-UA" w:eastAsia="ru-RU"/>
        </w:rPr>
      </w:pPr>
      <w:r w:rsidRPr="00757C6E">
        <w:rPr>
          <w:rFonts w:eastAsia="Times New Roman" w:cs="Times New Roman"/>
          <w:sz w:val="26"/>
          <w:szCs w:val="26"/>
          <w:lang w:val="uk-UA" w:eastAsia="ru-RU"/>
        </w:rPr>
        <w:t>до Методики</w:t>
      </w:r>
    </w:p>
    <w:p w14:paraId="6BB442D5" w14:textId="77777777" w:rsidR="00426B77" w:rsidRPr="00757C6E" w:rsidRDefault="00426B77" w:rsidP="00426B77">
      <w:pPr>
        <w:spacing w:after="0"/>
        <w:rPr>
          <w:rFonts w:eastAsia="Times New Roman" w:cs="Times New Roman"/>
          <w:sz w:val="26"/>
          <w:szCs w:val="26"/>
          <w:lang w:val="uk-UA" w:eastAsia="ru-RU"/>
        </w:rPr>
      </w:pPr>
    </w:p>
    <w:p w14:paraId="09010356" w14:textId="77777777" w:rsidR="00426B77" w:rsidRPr="00757C6E" w:rsidRDefault="00426B77" w:rsidP="00426B77">
      <w:pPr>
        <w:spacing w:after="0"/>
        <w:rPr>
          <w:rFonts w:eastAsia="Times New Roman" w:cs="Times New Roman"/>
          <w:sz w:val="26"/>
          <w:szCs w:val="26"/>
          <w:lang w:val="uk-UA" w:eastAsia="ru-RU"/>
        </w:rPr>
      </w:pPr>
    </w:p>
    <w:p w14:paraId="00EF81B6" w14:textId="77777777" w:rsidR="00D225D6" w:rsidRPr="00757C6E" w:rsidRDefault="00D225D6" w:rsidP="00D225D6">
      <w:pPr>
        <w:shd w:val="clear" w:color="auto" w:fill="FFFFFF"/>
        <w:spacing w:after="0"/>
        <w:ind w:left="450" w:right="450"/>
        <w:jc w:val="center"/>
        <w:rPr>
          <w:rFonts w:eastAsia="Times New Roman" w:cs="Times New Roman"/>
          <w:sz w:val="26"/>
          <w:szCs w:val="26"/>
          <w:lang w:eastAsia="ru-RU"/>
        </w:rPr>
      </w:pPr>
      <w:bookmarkStart w:id="0" w:name="n79"/>
      <w:bookmarkEnd w:id="0"/>
      <w:r w:rsidRPr="00757C6E">
        <w:rPr>
          <w:rFonts w:eastAsia="Times New Roman" w:cs="Times New Roman"/>
          <w:b/>
          <w:bCs/>
          <w:sz w:val="26"/>
          <w:szCs w:val="26"/>
          <w:lang w:eastAsia="ru-RU"/>
        </w:rPr>
        <w:t>ОРЕНДНІ</w:t>
      </w:r>
      <w:r w:rsidRPr="00757C6E">
        <w:rPr>
          <w:rFonts w:eastAsia="Times New Roman" w:cs="Times New Roman"/>
          <w:sz w:val="26"/>
          <w:szCs w:val="26"/>
          <w:lang w:eastAsia="ru-RU"/>
        </w:rPr>
        <w:br/>
      </w:r>
      <w:r w:rsidRPr="00757C6E">
        <w:rPr>
          <w:rFonts w:eastAsia="Times New Roman" w:cs="Times New Roman"/>
          <w:b/>
          <w:bCs/>
          <w:sz w:val="26"/>
          <w:szCs w:val="26"/>
          <w:lang w:eastAsia="ru-RU"/>
        </w:rPr>
        <w:t xml:space="preserve">ставки для </w:t>
      </w:r>
      <w:proofErr w:type="spellStart"/>
      <w:r w:rsidRPr="00757C6E">
        <w:rPr>
          <w:rFonts w:eastAsia="Times New Roman" w:cs="Times New Roman"/>
          <w:b/>
          <w:bCs/>
          <w:sz w:val="26"/>
          <w:szCs w:val="26"/>
          <w:lang w:eastAsia="ru-RU"/>
        </w:rPr>
        <w:t>договорів</w:t>
      </w:r>
      <w:proofErr w:type="spellEnd"/>
      <w:r w:rsidRPr="00757C6E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757C6E">
        <w:rPr>
          <w:rFonts w:eastAsia="Times New Roman" w:cs="Times New Roman"/>
          <w:b/>
          <w:bCs/>
          <w:sz w:val="26"/>
          <w:szCs w:val="26"/>
          <w:lang w:eastAsia="ru-RU"/>
        </w:rPr>
        <w:t>оренди</w:t>
      </w:r>
      <w:proofErr w:type="spellEnd"/>
      <w:r w:rsidRPr="00757C6E">
        <w:rPr>
          <w:rFonts w:eastAsia="Times New Roman" w:cs="Times New Roman"/>
          <w:b/>
          <w:bCs/>
          <w:sz w:val="26"/>
          <w:szCs w:val="26"/>
          <w:lang w:eastAsia="ru-RU"/>
        </w:rPr>
        <w:t xml:space="preserve">, </w:t>
      </w:r>
      <w:proofErr w:type="spellStart"/>
      <w:r w:rsidRPr="00757C6E">
        <w:rPr>
          <w:rFonts w:eastAsia="Times New Roman" w:cs="Times New Roman"/>
          <w:b/>
          <w:bCs/>
          <w:sz w:val="26"/>
          <w:szCs w:val="26"/>
          <w:lang w:eastAsia="ru-RU"/>
        </w:rPr>
        <w:t>які</w:t>
      </w:r>
      <w:proofErr w:type="spellEnd"/>
      <w:r w:rsidRPr="00757C6E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757C6E">
        <w:rPr>
          <w:rFonts w:eastAsia="Times New Roman" w:cs="Times New Roman"/>
          <w:b/>
          <w:bCs/>
          <w:sz w:val="26"/>
          <w:szCs w:val="26"/>
          <w:lang w:eastAsia="ru-RU"/>
        </w:rPr>
        <w:t>продовжуються</w:t>
      </w:r>
      <w:proofErr w:type="spellEnd"/>
      <w:r w:rsidRPr="00757C6E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757C6E">
        <w:rPr>
          <w:rFonts w:eastAsia="Times New Roman" w:cs="Times New Roman"/>
          <w:b/>
          <w:bCs/>
          <w:sz w:val="26"/>
          <w:szCs w:val="26"/>
          <w:lang w:eastAsia="ru-RU"/>
        </w:rPr>
        <w:t>вперше</w:t>
      </w:r>
      <w:proofErr w:type="spellEnd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98"/>
        <w:gridCol w:w="2240"/>
      </w:tblGrid>
      <w:tr w:rsidR="00D225D6" w:rsidRPr="00757C6E" w14:paraId="22C91BC3" w14:textId="77777777" w:rsidTr="00D5100E">
        <w:tc>
          <w:tcPr>
            <w:tcW w:w="383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F4FE19B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bookmarkStart w:id="1" w:name="n80"/>
            <w:bookmarkEnd w:id="1"/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Найменування</w:t>
            </w:r>
            <w:proofErr w:type="spellEnd"/>
          </w:p>
        </w:tc>
        <w:tc>
          <w:tcPr>
            <w:tcW w:w="1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68EE3E2" w14:textId="36C7FD8F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Орендна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ставка,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відсотк</w:t>
            </w:r>
            <w:proofErr w:type="spellEnd"/>
            <w:r w:rsidR="00C359D5" w:rsidRPr="00757C6E">
              <w:rPr>
                <w:rFonts w:eastAsia="Times New Roman" w:cs="Times New Roman"/>
                <w:sz w:val="26"/>
                <w:szCs w:val="26"/>
                <w:lang w:val="uk-UA" w:eastAsia="ru-RU"/>
              </w:rPr>
              <w:t>и</w:t>
            </w:r>
          </w:p>
        </w:tc>
      </w:tr>
      <w:tr w:rsidR="00D225D6" w:rsidRPr="00757C6E" w14:paraId="611A3A6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E08816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єдиних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майнових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комплексів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82466" w:rsidRPr="00757C6E">
              <w:rPr>
                <w:rFonts w:eastAsia="Times New Roman" w:cs="Times New Roman"/>
                <w:sz w:val="26"/>
                <w:szCs w:val="26"/>
                <w:lang w:val="uk-UA" w:eastAsia="ru-RU"/>
              </w:rPr>
              <w:t>комунальних підприємств спільної власності територіальних громад, сіл, селищ, міст Волинської області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їх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відокремлених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структурних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підрозділів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для:</w:t>
            </w:r>
          </w:p>
          <w:p w14:paraId="183AC655" w14:textId="1C73F652" w:rsidR="00C359D5" w:rsidRPr="00757C6E" w:rsidRDefault="00C359D5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D77117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211463D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6B6612" w14:textId="7ED73B7D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тютюнової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промисловості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лікеро-горілчаної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виноробної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промисловості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радгоспів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заводів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виробляють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виноробну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продукцію</w:t>
            </w:r>
            <w:proofErr w:type="spellEnd"/>
          </w:p>
          <w:p w14:paraId="463F39FD" w14:textId="77777777" w:rsidR="00C359D5" w:rsidRPr="00757C6E" w:rsidRDefault="00C359D5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A07E13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25</w:t>
            </w:r>
          </w:p>
        </w:tc>
      </w:tr>
      <w:tr w:rsidR="00D225D6" w:rsidRPr="00757C6E" w14:paraId="27FA56F2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AE9DC9" w14:textId="221238DA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виробництва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електричного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електронного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устаткування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деревини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деревини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меблів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концертно-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видовищної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виставкової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ресторанів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морського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залізничного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автомобільного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транспорту,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торгівлі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випуску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лотерейних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білетів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лотерей,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кольорової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металургії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нафтогазодобувної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промисловості</w:t>
            </w:r>
            <w:proofErr w:type="spellEnd"/>
          </w:p>
          <w:p w14:paraId="4BC079DD" w14:textId="77777777" w:rsidR="00C359D5" w:rsidRPr="00757C6E" w:rsidRDefault="00C359D5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0FECC0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20</w:t>
            </w:r>
          </w:p>
        </w:tc>
      </w:tr>
      <w:tr w:rsidR="00D225D6" w:rsidRPr="00757C6E" w14:paraId="7A9890F9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171325" w14:textId="301BC236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3)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електроенергетики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газової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хімічної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нафтохімічної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промисловості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чорної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металургії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зв’язку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швейної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текстильної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промисловості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ресторанного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господарства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ресторанів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виробництва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транспортних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устаткування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їх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ремонту,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виробництва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машин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устаткування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призначеного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механічного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термічного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оброблення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матеріалів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здійснення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інших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операцій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виробництва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гумових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пластмасових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лісового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господарства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рибного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господарства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целюлозно-паперової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промисловості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переробки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відходів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видобування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неенергетичних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матеріалів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додаткових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транспортних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допоміжних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операцій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паливної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промисловості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побутового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обслуговування</w:t>
            </w:r>
            <w:proofErr w:type="spellEnd"/>
          </w:p>
          <w:p w14:paraId="49E6498C" w14:textId="77777777" w:rsidR="00C359D5" w:rsidRPr="00757C6E" w:rsidRDefault="00C359D5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A04C37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16</w:t>
            </w:r>
          </w:p>
        </w:tc>
      </w:tr>
      <w:tr w:rsidR="00D225D6" w:rsidRPr="00757C6E" w14:paraId="1820004A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0BDA0" w14:textId="0F4803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4)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сільського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господарства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харчової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промисловості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лікеро-горілчаної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виноробної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промисловості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радгоспів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заводів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тих,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виробляють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виноробну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продукцію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металообробки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науки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охорони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здоров’я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легкої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швейної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текстильної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промисловості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виробництва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будівельних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матеріалів</w:t>
            </w:r>
            <w:proofErr w:type="spellEnd"/>
          </w:p>
          <w:p w14:paraId="49FEAD19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6FAC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D225D6" w:rsidRPr="00757C6E" w14:paraId="70E1074C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EF77C2" w14:textId="58B9A7DF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5)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інших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об’єктів</w:t>
            </w:r>
            <w:proofErr w:type="spellEnd"/>
          </w:p>
          <w:p w14:paraId="1EB7D274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116F21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D225D6" w:rsidRPr="00757C6E" w14:paraId="37CA161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8585B8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нерухомого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майна за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цільовим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призначенням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03E1E54D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2663AA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178B9A74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92318C" w14:textId="656A0654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 xml:space="preserve">1)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казино,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інших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гральних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гральних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автоматів</w:t>
            </w:r>
            <w:proofErr w:type="spellEnd"/>
          </w:p>
          <w:p w14:paraId="5EBD9BE9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131EA6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D225D6" w:rsidRPr="00757C6E" w14:paraId="20DB74EA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D22FB8" w14:textId="2F81A912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пунктів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продажу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лотерейних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білетів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пунктів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обміну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валюти</w:t>
            </w:r>
            <w:proofErr w:type="spellEnd"/>
          </w:p>
          <w:p w14:paraId="61B106F1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642B3C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45</w:t>
            </w:r>
          </w:p>
        </w:tc>
      </w:tr>
      <w:tr w:rsidR="00D225D6" w:rsidRPr="00757C6E" w14:paraId="0FA3B020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D56514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3)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1E20FFDD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04865E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40</w:t>
            </w:r>
          </w:p>
        </w:tc>
      </w:tr>
      <w:tr w:rsidR="00D225D6" w:rsidRPr="00757C6E" w14:paraId="17BE3481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8399C0C" w14:textId="1C3FE83D" w:rsidR="00D225D6" w:rsidRPr="00D47F9B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</w:t>
            </w:r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анкоматів</w:t>
            </w:r>
            <w:proofErr w:type="spellEnd"/>
          </w:p>
          <w:p w14:paraId="15A8655D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455AED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3E65847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32001C" w14:textId="5ABD37B0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ресторанів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нічним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режимом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роботи</w:t>
            </w:r>
            <w:proofErr w:type="spellEnd"/>
          </w:p>
          <w:p w14:paraId="76F0FCD2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1FFAD4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092C55E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888BF5" w14:textId="280E3860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відділень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банків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фінансових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ломбардів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бірж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брокерських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дилерських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маклерських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рієлторських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контор (агентств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нерухомості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)</w:t>
            </w:r>
          </w:p>
          <w:p w14:paraId="16D57DA7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422BB0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1C36CB1F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9F2BF0" w14:textId="449581C2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торговельних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продажу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ювелірних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дорогоцінних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металів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дорогоцінного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каміння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антикваріату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зброї</w:t>
            </w:r>
            <w:proofErr w:type="spellEnd"/>
          </w:p>
          <w:p w14:paraId="79AA9D75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678A71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1E491C28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76FD08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4)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7D1B3555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D9EC40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  <w:tr w:rsidR="00D225D6" w:rsidRPr="00757C6E" w14:paraId="6D6B474C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897A55" w14:textId="369FC2DF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виробників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реклами</w:t>
            </w:r>
            <w:proofErr w:type="spellEnd"/>
          </w:p>
          <w:p w14:paraId="75C9FA41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9273A4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318E8C88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B6F318" w14:textId="2A03C539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саун,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турецьких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лазень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соляріїв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кабінетів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масажу</w:t>
            </w:r>
            <w:proofErr w:type="spellEnd"/>
          </w:p>
          <w:p w14:paraId="479B1DF4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4D8F07C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B27EC5C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C2A139" w14:textId="6DB1D7DF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торговельних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продажу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автомобілів</w:t>
            </w:r>
            <w:proofErr w:type="spellEnd"/>
          </w:p>
          <w:p w14:paraId="44B1FBD2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B168CE3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7732807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B491D0" w14:textId="5AB380BE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зовнішньої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реклами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будівлях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спорудах</w:t>
            </w:r>
            <w:proofErr w:type="spellEnd"/>
          </w:p>
          <w:p w14:paraId="35A33DB2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8298F3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F2543F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21F65B" w14:textId="335EE73E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5)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концертів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іншої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видовищно-розважальної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</w:p>
          <w:p w14:paraId="67771511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702416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25</w:t>
            </w:r>
          </w:p>
        </w:tc>
      </w:tr>
      <w:tr w:rsidR="00D225D6" w:rsidRPr="00757C6E" w14:paraId="1AE3102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69D99A" w14:textId="5ADA16C7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6)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господарювання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провадять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туроператорську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турагентську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діяльність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готелів</w:t>
            </w:r>
            <w:proofErr w:type="spellEnd"/>
          </w:p>
          <w:p w14:paraId="23AC8098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CE0D5A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22</w:t>
            </w:r>
          </w:p>
        </w:tc>
      </w:tr>
      <w:tr w:rsidR="00D225D6" w:rsidRPr="00757C6E" w14:paraId="150D12E7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12668D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7)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13EECB69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FE3391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20</w:t>
            </w:r>
          </w:p>
        </w:tc>
      </w:tr>
      <w:tr w:rsidR="00D225D6" w:rsidRPr="00757C6E" w14:paraId="5F71DDDC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941804" w14:textId="7BA8C7A7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майстерень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здійснюють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технічне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обслуговування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ремонт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автомобілів</w:t>
            </w:r>
            <w:proofErr w:type="spellEnd"/>
          </w:p>
          <w:p w14:paraId="319AD780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4A0A17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11B7A660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94B4218" w14:textId="15003912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майстерень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ремонту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ювелірних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виробів</w:t>
            </w:r>
            <w:proofErr w:type="spellEnd"/>
          </w:p>
          <w:p w14:paraId="2E592208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7B4FF8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57CA4975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767D14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аптек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приміщеннях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лікувально-профілактичних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A937B0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8A7337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62CC70" w14:textId="449A347E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приватних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охорони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здоров’я</w:t>
            </w:r>
            <w:proofErr w:type="spellEnd"/>
          </w:p>
          <w:p w14:paraId="0670E446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F211F2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3B360A7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1A5808" w14:textId="6ADC8E27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господарювання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основі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приватної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власності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провадять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господарську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діяльність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медичної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практики</w:t>
            </w:r>
          </w:p>
          <w:p w14:paraId="716DA801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D3176A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738E557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F47F8E" w14:textId="2A4659D7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торговельних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продажу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окулярів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лінз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скелець</w:t>
            </w:r>
            <w:proofErr w:type="spellEnd"/>
          </w:p>
          <w:p w14:paraId="233C1940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A1718F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4262653E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326623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редакцій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масової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інформації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367179E4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5DFA91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78EB08BA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17C2871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- рекламного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еротичного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характеру</w:t>
            </w:r>
          </w:p>
          <w:p w14:paraId="53D2C9D3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95765F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0F3485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B7C5EC" w14:textId="7777AE38" w:rsidR="00D225D6" w:rsidRPr="00D47F9B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- тих,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засновані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Україні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міжнародними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участю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юридичних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фізичних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інших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держав,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без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громадянства</w:t>
            </w:r>
            <w:proofErr w:type="spellEnd"/>
          </w:p>
          <w:p w14:paraId="6BBACF30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AB5BF2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50F09807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B9D606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- тих, де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понад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50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відсотків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загального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обсягу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випуску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становлять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матеріали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іноземних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масової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інформації</w:t>
            </w:r>
            <w:proofErr w:type="spellEnd"/>
          </w:p>
          <w:p w14:paraId="702A8A44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07450C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1075340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B23DB3" w14:textId="67F167B1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- тих,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засновані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участю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господарювання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одним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із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є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виробництво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постачання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паперу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поліграфічного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обладнання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технічних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мовлення</w:t>
            </w:r>
            <w:proofErr w:type="spellEnd"/>
          </w:p>
          <w:p w14:paraId="39052700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B5F867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77F52778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4BAC25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8)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11116AD6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3C4A24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18</w:t>
            </w:r>
          </w:p>
        </w:tc>
      </w:tr>
      <w:tr w:rsidR="00D225D6" w:rsidRPr="00757C6E" w14:paraId="6D1816E0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0B684A" w14:textId="3323E24B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турбаз,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мотелів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кемпінгів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літніх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будиночків</w:t>
            </w:r>
            <w:proofErr w:type="spellEnd"/>
          </w:p>
          <w:p w14:paraId="12F82DC4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0085C1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166DE09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95E797" w14:textId="02AD2DCB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торговельних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продажу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непродовольчих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товарів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алкогольних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тютюнових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*</w:t>
            </w:r>
          </w:p>
          <w:p w14:paraId="50328071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C764CA3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4E239D4A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159DF" w14:textId="48C2705B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офісних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приміщень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відділень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банків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фінансових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ломбардів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бірж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брокерських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дилерських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маклерських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рієлторських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контор (агентств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нерухомості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)</w:t>
            </w:r>
          </w:p>
          <w:p w14:paraId="0260CA6D" w14:textId="77777777" w:rsidR="003C2922" w:rsidRPr="00757C6E" w:rsidRDefault="003C2922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427231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DA346B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EFB1F4" w14:textId="665D21F5" w:rsidR="008A7EF8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господарювання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пов’язані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переказом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грошей</w:t>
            </w:r>
          </w:p>
          <w:p w14:paraId="47560868" w14:textId="4BC299E5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8D6688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E613B0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86E4F0" w14:textId="1DECAF1D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господарювання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провадять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діяльність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права,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бухгалтерського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обліку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оподаткування</w:t>
            </w:r>
            <w:proofErr w:type="spellEnd"/>
          </w:p>
          <w:p w14:paraId="6BDC0BF4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C3820E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6D4943E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1AAC0A" w14:textId="1C06AFB9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антен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технічних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антен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операторів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телекомунікацій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рухомого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мобільного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зв’язку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операторів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провайдерів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телекомунікацій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доступу до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Інтернету</w:t>
            </w:r>
            <w:proofErr w:type="spellEnd"/>
          </w:p>
          <w:p w14:paraId="6321B988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D76F46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6955B57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72523E3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9)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4447D0C3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209233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</w:tr>
      <w:tr w:rsidR="00D225D6" w:rsidRPr="00757C6E" w14:paraId="58F40B92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E3F709" w14:textId="47900AEC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ресторанів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кафе,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барів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закусочних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буфетів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кафетеріїв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здійснюють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продаж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товарів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підакцизної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групи*</w:t>
            </w:r>
          </w:p>
          <w:p w14:paraId="2ADDBD8C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7BD6C65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1C589C99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CF9B24" w14:textId="7BFFDAD8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ветеринарних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лікарень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клінік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лабораторій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ветеринарної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медицини</w:t>
            </w:r>
            <w:proofErr w:type="spellEnd"/>
          </w:p>
          <w:p w14:paraId="256CD8AD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BC12941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FA0B0DB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2F9C2A" w14:textId="217B8BE1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господарювання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провадять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діяльність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шлюбних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знайомств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весіль</w:t>
            </w:r>
            <w:proofErr w:type="spellEnd"/>
          </w:p>
          <w:p w14:paraId="0E7C6856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BB5B0C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F9F71D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2AD7EB4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крамниць-складів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магазинів-складів</w:t>
            </w:r>
            <w:proofErr w:type="spellEnd"/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E27B41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716750D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04503B" w14:textId="1BB1F083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приватних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архівних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</w:p>
          <w:p w14:paraId="12DEF716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B9C064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369E48D1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B42077" w14:textId="146486CB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камер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схову</w:t>
            </w:r>
            <w:proofErr w:type="spellEnd"/>
          </w:p>
          <w:p w14:paraId="03953A75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F05FF7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7D8DDE2C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53E438" w14:textId="6F93CBDF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стоянок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автомобілів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паркінгів</w:t>
            </w:r>
            <w:proofErr w:type="spellEnd"/>
          </w:p>
          <w:p w14:paraId="715C5BB4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370A2A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39326F4D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93D063" w14:textId="140117B6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господарювання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провадять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діяльність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вирощування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квітів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грибів</w:t>
            </w:r>
            <w:proofErr w:type="spellEnd"/>
          </w:p>
          <w:p w14:paraId="469133FF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849AC6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06B1389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256D3B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10)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5EE4C0DA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C749E9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D225D6" w:rsidRPr="00757C6E" w14:paraId="2440F908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79E664" w14:textId="08F75199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господарювання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провадять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виробничу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діяльність</w:t>
            </w:r>
            <w:proofErr w:type="spellEnd"/>
          </w:p>
          <w:p w14:paraId="06D948D6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CBF9F4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1511864C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61B8795" w14:textId="13022211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комп’ютерних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клубів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інтернет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-кафе</w:t>
            </w:r>
          </w:p>
          <w:p w14:paraId="6B9E7741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51E02A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3E0605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D3C5A0" w14:textId="53E1A497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аптек,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ветеринарних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аптек</w:t>
            </w:r>
          </w:p>
          <w:p w14:paraId="5C59DFAF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E720C0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39F65A29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46C818" w14:textId="12741A76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рибних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господарств</w:t>
            </w:r>
            <w:proofErr w:type="spellEnd"/>
          </w:p>
          <w:p w14:paraId="51DC7D03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B4B7A8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3842F17D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C742B2" w14:textId="0B27E009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шкіл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курсів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навчання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водіїв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автомобілів</w:t>
            </w:r>
            <w:proofErr w:type="spellEnd"/>
          </w:p>
          <w:p w14:paraId="3AED9E3A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DBEDE9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7A501528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ECAE09" w14:textId="4DDC20F9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господарювання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здійснюють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про</w:t>
            </w:r>
            <w:r w:rsidR="0089727A">
              <w:rPr>
                <w:rFonts w:eastAsia="Times New Roman" w:cs="Times New Roman"/>
                <w:sz w:val="26"/>
                <w:szCs w:val="26"/>
                <w:lang w:val="uk-UA" w:eastAsia="ru-RU"/>
              </w:rPr>
              <w:t>є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ктні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, про</w:t>
            </w:r>
            <w:r w:rsidR="009B0EF8">
              <w:rPr>
                <w:rFonts w:eastAsia="Times New Roman" w:cs="Times New Roman"/>
                <w:sz w:val="26"/>
                <w:szCs w:val="26"/>
                <w:lang w:val="uk-UA" w:eastAsia="ru-RU"/>
              </w:rPr>
              <w:t>є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ктно-вишукувальні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, про</w:t>
            </w:r>
            <w:r w:rsidR="009B0EF8">
              <w:rPr>
                <w:rFonts w:eastAsia="Times New Roman" w:cs="Times New Roman"/>
                <w:sz w:val="26"/>
                <w:szCs w:val="26"/>
                <w:lang w:val="uk-UA" w:eastAsia="ru-RU"/>
              </w:rPr>
              <w:t>є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ктно-конструкторські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роботи</w:t>
            </w:r>
            <w:proofErr w:type="spellEnd"/>
          </w:p>
          <w:p w14:paraId="7B372D2F" w14:textId="77777777" w:rsidR="009B0EF8" w:rsidRPr="009B0EF8" w:rsidRDefault="009B0EF8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CD700B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3E659269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5D2C0F" w14:textId="586FC4E9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інформаційних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агентств</w:t>
            </w:r>
          </w:p>
          <w:p w14:paraId="6D48A474" w14:textId="77777777" w:rsidR="009B0EF8" w:rsidRPr="009B0EF8" w:rsidRDefault="009B0EF8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D9D8F9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E665C1A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C41DA2" w14:textId="52E200F3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виставок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непродовольчих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товарів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без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здійснення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торгівл</w:t>
            </w:r>
            <w:proofErr w:type="spellEnd"/>
            <w:r w:rsidR="009B0EF8">
              <w:rPr>
                <w:rFonts w:eastAsia="Times New Roman" w:cs="Times New Roman"/>
                <w:sz w:val="26"/>
                <w:szCs w:val="26"/>
                <w:lang w:val="uk-UA" w:eastAsia="ru-RU"/>
              </w:rPr>
              <w:t>,</w:t>
            </w:r>
          </w:p>
          <w:p w14:paraId="59AEAAB2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D765BA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4BEA80EC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5981E1E" w14:textId="434B501B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кафе,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барів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закусочних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кафетеріїв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їдалень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буфетів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здійснюють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продаж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товарів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підакцизної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групи</w:t>
            </w:r>
          </w:p>
          <w:p w14:paraId="07E80885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9B9D32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58A0C8E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957DC1A" w14:textId="3B4CEFE1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погодинно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курси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тренінги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семінари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)</w:t>
            </w:r>
          </w:p>
          <w:p w14:paraId="7E60BE04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6688F3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4EFA560C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AB93AC" w14:textId="119B5CF0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торговельних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продажу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продовольчих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товарів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товарів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підакцизної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групи</w:t>
            </w:r>
          </w:p>
          <w:p w14:paraId="2B479AE9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0EAC71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521272A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B7DFF94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11)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74C3F2E2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49B0DB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D225D6" w:rsidRPr="00757C6E" w14:paraId="54D98649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AA58F5" w14:textId="104920A2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кінематографії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основною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діяльністю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є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кіновиробництво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технічне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обслуговування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кіновиробництва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умови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вони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внесені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 Державного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реєстру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виробників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розповсюджувачів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демонстраторів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фільмів</w:t>
            </w:r>
            <w:proofErr w:type="spellEnd"/>
          </w:p>
          <w:p w14:paraId="28C4B015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CA3D971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45CCC12F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E73EF1" w14:textId="6075983A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редакцій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масової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інформації</w:t>
            </w:r>
            <w:proofErr w:type="spellEnd"/>
          </w:p>
          <w:p w14:paraId="38018E3D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BA8D55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A4842DC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61AAFE" w14:textId="1A5DDDD0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приватних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ліцензію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освітніх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відповідній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визначених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абзаці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четвертому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підпункту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18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абзаці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третьому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підпункту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20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цього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пункту),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використовується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ліцензійних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</w:p>
          <w:p w14:paraId="5B1BF09A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EA3D8D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A773340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B9DD0B" w14:textId="1E1327E4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12)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науково-практичних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культурних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мистецьких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суспільних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політичних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заходів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 строк</w:t>
            </w:r>
            <w:proofErr w:type="gram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proofErr w:type="gram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  30</w:t>
            </w:r>
            <w:proofErr w:type="gram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календарних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протягом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одного року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щодо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кожного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орендаря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балансоутримувачем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є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державне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комунальне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підприємство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провадить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діяльність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конгресів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торговельних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виставок</w:t>
            </w:r>
            <w:proofErr w:type="spellEnd"/>
          </w:p>
          <w:p w14:paraId="1139B656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14AE7F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D225D6" w:rsidRPr="00757C6E" w14:paraId="4F12772E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B66A32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13)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39F5F47E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B1623D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D225D6" w:rsidRPr="00757C6E" w14:paraId="0BB8FACB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730252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фізичної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культури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спорту,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тих,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наведені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абзацах восьмому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дев’ятому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підпункту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18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цього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пункту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2CB8C3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2A31C97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6CC785" w14:textId="5FEE1990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без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отримання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ліцензії</w:t>
            </w:r>
            <w:proofErr w:type="spellEnd"/>
          </w:p>
          <w:p w14:paraId="5279EB14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3C33FC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262B47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AC1EE63" w14:textId="4C578AF2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господарювання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здійснюють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побутове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обслуговування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населення</w:t>
            </w:r>
            <w:proofErr w:type="spellEnd"/>
          </w:p>
          <w:p w14:paraId="268CC917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30FB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9C54025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CDE9D9" w14:textId="557A3364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вбиралень</w:t>
            </w:r>
            <w:proofErr w:type="spellEnd"/>
          </w:p>
          <w:p w14:paraId="1FB15A27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DC4162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FFE8D2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E855F5" w14:textId="4C125620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виставок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образотворчої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книжкової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продукції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виробленої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Україні</w:t>
            </w:r>
            <w:proofErr w:type="spellEnd"/>
          </w:p>
          <w:p w14:paraId="0F3A8284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ADC8D6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D9E9412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36B121" w14:textId="767ED872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14)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науково-практичних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культурних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мистецьких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суспільних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політичних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заходів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 строк</w:t>
            </w:r>
            <w:proofErr w:type="gram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п’яти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календарних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протягом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шести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місяців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а також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щодо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майна, яке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передається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суб’єктам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виборчого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процесу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метою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публічних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заходів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зборів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дебатів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дискусій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час та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період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виборчої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кампанії</w:t>
            </w:r>
            <w:proofErr w:type="spellEnd"/>
          </w:p>
          <w:p w14:paraId="137957ED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2EDB44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8</w:t>
            </w:r>
          </w:p>
        </w:tc>
      </w:tr>
      <w:tr w:rsidR="00D225D6" w:rsidRPr="00757C6E" w14:paraId="030BD47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60434E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15)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77A3649B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578811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225D6" w:rsidRPr="00757C6E" w14:paraId="374A6A1F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98E9A8" w14:textId="7B4290E9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поштового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зв’язку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використовується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поштового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зв’язку</w:t>
            </w:r>
            <w:proofErr w:type="spellEnd"/>
          </w:p>
          <w:p w14:paraId="77E27600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5D5D49D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14EE222C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320AEE" w14:textId="43BE3274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господарювання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перевезення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доставки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вручення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поштових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відправлень</w:t>
            </w:r>
            <w:proofErr w:type="spellEnd"/>
          </w:p>
          <w:p w14:paraId="3CD5EDFF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181518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70A640B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0DEB66" w14:textId="72A2770F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кінотеатрів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бібліотек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театрів</w:t>
            </w:r>
            <w:proofErr w:type="spellEnd"/>
          </w:p>
          <w:p w14:paraId="0EA1AD8E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8BE392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4264EE8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083E0D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16)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350D7CE1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7C99D4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D225D6" w:rsidRPr="00757C6E" w14:paraId="6B8D701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D20FE9" w14:textId="5DBE825E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охорони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здоров’я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частково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фінансуються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рахунок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державного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місцевих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бюджетів</w:t>
            </w:r>
            <w:proofErr w:type="spellEnd"/>
          </w:p>
          <w:p w14:paraId="4CADDB8B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CC455A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2BA0065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1175B3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торговельних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продажу книг, газет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журналів</w:t>
            </w:r>
            <w:proofErr w:type="spellEnd"/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DD23FA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562C063B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920AB3" w14:textId="709C3D2B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видавництв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друкованих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засобів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масової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інформації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видавничої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продукції</w:t>
            </w:r>
            <w:proofErr w:type="spellEnd"/>
          </w:p>
          <w:p w14:paraId="54ADDC9C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F5362C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3A2748D8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67F51E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17)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майна:</w:t>
            </w:r>
          </w:p>
          <w:p w14:paraId="71F7F3E0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53CE89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225D6" w:rsidRPr="00757C6E" w14:paraId="38874049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7F5E826" w14:textId="34E37F7A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підприємствами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установами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культури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мистецтв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культури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мистецтв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(у тому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числі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національними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творчими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спілками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їх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членами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творчі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майстерні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)</w:t>
            </w:r>
          </w:p>
          <w:p w14:paraId="10224F9A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548537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7F86DA00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273AE4" w14:textId="169E31AE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видавництвами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підприємствами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книгорозповсюдження</w:t>
            </w:r>
            <w:proofErr w:type="spellEnd"/>
          </w:p>
          <w:p w14:paraId="37B9F7ED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4691CE8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56C01B07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A838D9" w14:textId="4DE4A931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вітчизняними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видавництвами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підприємствами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книгорозповсюдження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забезпечують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підготовку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випуск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розповсюдження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менш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як 50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відсотків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книжкової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продукції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державною мовою (за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винятком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видань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рекламного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еротичного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характеру)</w:t>
            </w:r>
          </w:p>
          <w:p w14:paraId="73663D97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455B2FB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19D38080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2D56C0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18)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22D9BF33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88D156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757C6E" w14:paraId="390D157A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9D0B42" w14:textId="583B937E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частково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фінансуються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державного бюджету,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фінансуються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місцевого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бюджету,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ліцензію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провадження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освітньої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відповідній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визначених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абзаці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третьому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підпункту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20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цього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пункту)</w:t>
            </w:r>
          </w:p>
          <w:p w14:paraId="61F56113" w14:textId="77777777" w:rsidR="009B0EF8" w:rsidRPr="009B0EF8" w:rsidRDefault="009B0EF8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9A070C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E9C1E92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8939DD" w14:textId="009628B0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ліцензію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провадження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освітньої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засновані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неприбутковими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об’єднаннями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отримують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державне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фінансування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держав -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членів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ЄС</w:t>
            </w:r>
          </w:p>
          <w:p w14:paraId="45FDB30D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CAC95F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459A6D0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563AE57" w14:textId="1BA3883C" w:rsidR="00D225D6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приватних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загальної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середньої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ліцензію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провадження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освітньої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відповідній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використовується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ліцензійних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</w:p>
          <w:p w14:paraId="764DB7CE" w14:textId="585C80C0" w:rsidR="009B0EF8" w:rsidRPr="009B0EF8" w:rsidRDefault="009B0EF8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9141EA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7376423F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37EF07" w14:textId="6BAE2449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місцевого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самоврядування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інших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діяльність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частково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фінансується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рахунок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державного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місцевих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бюджетів</w:t>
            </w:r>
            <w:proofErr w:type="spellEnd"/>
          </w:p>
          <w:p w14:paraId="50554FCD" w14:textId="77777777" w:rsidR="006C7E7A" w:rsidRPr="00757C6E" w:rsidRDefault="006C7E7A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E35664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439298CB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0E85D2" w14:textId="12B2FC98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добровільних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об’єднань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місцевого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самоврядування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у тому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числі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асоціацій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місцевого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самоврядування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із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всеукраїнським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статусом</w:t>
            </w:r>
          </w:p>
          <w:p w14:paraId="1AD857E9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B14435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D225D6" w:rsidRPr="00757C6E" w14:paraId="43E8C06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7D04E4" w14:textId="1F697C0D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музеїв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тих,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повністю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фінансуються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="00D5100E" w:rsidRPr="00757C6E">
              <w:rPr>
                <w:rFonts w:eastAsia="Times New Roman" w:cs="Times New Roman"/>
                <w:sz w:val="26"/>
                <w:szCs w:val="26"/>
                <w:lang w:val="uk-UA" w:eastAsia="ru-RU"/>
              </w:rPr>
              <w:t>облас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бюджет</w:t>
            </w:r>
            <w:r w:rsidR="0089727A">
              <w:rPr>
                <w:rFonts w:eastAsia="Times New Roman" w:cs="Times New Roman"/>
                <w:sz w:val="26"/>
                <w:szCs w:val="26"/>
                <w:lang w:val="uk-UA" w:eastAsia="ru-RU"/>
              </w:rPr>
              <w:t>у</w:t>
            </w:r>
          </w:p>
          <w:p w14:paraId="69FC812E" w14:textId="50DDC898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F4AEF6" w14:textId="77777777" w:rsidR="00D225D6" w:rsidRPr="0089727A" w:rsidRDefault="00D225D6" w:rsidP="0089727A">
            <w:pPr>
              <w:spacing w:after="0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D225D6" w:rsidRPr="00757C6E" w14:paraId="6D76EC61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A95EEF" w14:textId="2CC8C981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об’єднань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фізкультурно-спортивної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спрямованості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є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неприбутковими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внесеними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Реєстру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неприбуткових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утворених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ними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клубів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клубів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займаються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професійним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спортом),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дитячо-юнацьких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шкіл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шкіл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вищої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майстерності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олімпійської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підготовки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студентського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спорту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вищої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фізичної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культури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спорту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інвалідністю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є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неприбутковими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внесеними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Реєстру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неприбуткових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-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виключно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заходів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фізкультурно-спортивних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</w:p>
          <w:p w14:paraId="5329E943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E691E0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46045EE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E999C26" w14:textId="2DE717FB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клубів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дитячо-юнацьких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шкіл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шкіл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вищої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майстерності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олімпійської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підготовки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студентського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спорту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вищої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фізкультурно-оздоровчих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фізичного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здоров’я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населення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фізичної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культури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спорту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інвалідністю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а також баз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олімпійської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паралімпійської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дефлімпійської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підготовки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орендарів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зазначених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</w:t>
            </w:r>
            <w:hyperlink r:id="rId8" w:anchor="n49" w:history="1">
              <w:r w:rsidRPr="00757C6E">
                <w:rPr>
                  <w:rFonts w:eastAsia="Times New Roman" w:cs="Times New Roman"/>
                  <w:sz w:val="26"/>
                  <w:szCs w:val="26"/>
                  <w:lang w:eastAsia="ru-RU"/>
                </w:rPr>
                <w:t> </w:t>
              </w:r>
              <w:proofErr w:type="spellStart"/>
              <w:r w:rsidRPr="00757C6E">
                <w:rPr>
                  <w:rFonts w:eastAsia="Times New Roman" w:cs="Times New Roman"/>
                  <w:sz w:val="26"/>
                  <w:szCs w:val="26"/>
                  <w:lang w:eastAsia="ru-RU"/>
                </w:rPr>
                <w:t>пункті</w:t>
              </w:r>
              <w:proofErr w:type="spellEnd"/>
              <w:r w:rsidRPr="00757C6E">
                <w:rPr>
                  <w:rFonts w:eastAsia="Times New Roman" w:cs="Times New Roman"/>
                  <w:sz w:val="26"/>
                  <w:szCs w:val="26"/>
                  <w:lang w:eastAsia="ru-RU"/>
                </w:rPr>
                <w:t xml:space="preserve"> 13</w:t>
              </w:r>
            </w:hyperlink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цієї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Методики)</w:t>
            </w:r>
          </w:p>
          <w:p w14:paraId="06573350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583118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4CE9D2C7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3FDB9F" w14:textId="158FC1EA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казенних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підприємств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некомерційних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підприємств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утворилися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результаті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реорганізації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охорони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здоров’я</w:t>
            </w:r>
            <w:proofErr w:type="spellEnd"/>
          </w:p>
          <w:p w14:paraId="7C6777A0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652FDC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AA4DABF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27BAEE" w14:textId="470EFDA8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дипломатичних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представництв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консульських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іноземних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держав,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представництв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міжнародних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Україні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договорів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орендна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плата за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врегульована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міжнародними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договорами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України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згода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обов’язковість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надана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Верховною Радою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України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)</w:t>
            </w:r>
          </w:p>
          <w:p w14:paraId="4147FD8D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1D6DB39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15D62285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40EBBF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19)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11689E58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58F4EFC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D225D6" w:rsidRPr="00757C6E" w14:paraId="429A641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7BF6CC" w14:textId="2525F318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архівних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частково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фінансуються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державного бюджету,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архівних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фінансуються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місцевого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бюджету</w:t>
            </w:r>
          </w:p>
          <w:p w14:paraId="52F6FD4A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5FE9D4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3E35E11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1FF947" w14:textId="3BEBAA20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нагляду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особами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психічними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інтелектуальними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сенсорними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порушеннями</w:t>
            </w:r>
            <w:proofErr w:type="spellEnd"/>
          </w:p>
          <w:p w14:paraId="37FE029F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B75FCF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5A75B0D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C390ADC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249C9229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59FFC86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225D6" w:rsidRPr="00757C6E" w14:paraId="1895F30A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25DDE0" w14:textId="5AEA4F43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надавачів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соціальних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власності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)</w:t>
            </w:r>
          </w:p>
          <w:p w14:paraId="005CC84F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7D363A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55C4FC9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0360DD" w14:textId="69EF9BAC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заснованих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будь-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формі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власності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ліцензію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освітніх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дошкільної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використовується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ліцензійних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  <w:r w:rsidR="006C7E7A" w:rsidRPr="00757C6E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(крім</w:t>
            </w:r>
            <w:r w:rsidR="006C7E7A" w:rsidRPr="00757C6E">
              <w:rPr>
                <w:rFonts w:cs="Times New Roman"/>
                <w:sz w:val="26"/>
                <w:szCs w:val="26"/>
              </w:rPr>
              <w:t xml:space="preserve"> </w:t>
            </w:r>
            <w:r w:rsidR="006C7E7A" w:rsidRPr="00757C6E">
              <w:rPr>
                <w:rFonts w:eastAsia="Times New Roman" w:cs="Times New Roman"/>
                <w:sz w:val="26"/>
                <w:szCs w:val="26"/>
                <w:lang w:val="uk-UA" w:eastAsia="ru-RU"/>
              </w:rPr>
              <w:t>орендарів, зазначених у пункті 13 цієї Методики)</w:t>
            </w:r>
          </w:p>
          <w:p w14:paraId="4B998FAD" w14:textId="2AFDEFF6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D29BD9E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170BA29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D0AAFA0" w14:textId="283409A0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соціального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захисту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бездомних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громадян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безпритульних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призначених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тимчасового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постійного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перебування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громадян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похилого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інвалідністю</w:t>
            </w:r>
            <w:proofErr w:type="spellEnd"/>
          </w:p>
          <w:p w14:paraId="616D8F62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2299BD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EE78CB8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A269D8" w14:textId="7777777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соціального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обслуговування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сімей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молоді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утримуються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рахунок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місцевого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бюджету,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зокрема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2D3C28C7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7DC37116" w14:textId="6F62076E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соціально-психологічної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реабілітації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</w:p>
          <w:p w14:paraId="150EABD4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4DD64F4E" w14:textId="1EC3EBAB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соціальних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гуртожитків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дітей-сиріт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позбавлених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батьківського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піклування</w:t>
            </w:r>
            <w:proofErr w:type="spellEnd"/>
          </w:p>
          <w:p w14:paraId="06CC0396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31AD35FC" w14:textId="5D34B764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соціальних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матері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дитини</w:t>
            </w:r>
            <w:proofErr w:type="spellEnd"/>
          </w:p>
          <w:p w14:paraId="60DEB1D5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5CFCC56F" w14:textId="4A6C60FA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соціально-психологічної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допомоги</w:t>
            </w:r>
            <w:proofErr w:type="spellEnd"/>
          </w:p>
          <w:p w14:paraId="2A2D5134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682F18B3" w14:textId="3AD13501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 xml:space="preserve">-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реабілітації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молоді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функціональними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обмеженнями</w:t>
            </w:r>
            <w:proofErr w:type="spellEnd"/>
          </w:p>
          <w:p w14:paraId="7E37C018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11C1D313" w14:textId="77777777" w:rsid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центрів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ВІЛ-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інфікованих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молоді</w:t>
            </w:r>
            <w:proofErr w:type="spellEnd"/>
          </w:p>
          <w:p w14:paraId="71D38203" w14:textId="0C0B843A" w:rsidR="0089727A" w:rsidRPr="0089727A" w:rsidRDefault="0089727A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A2F9803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6FBD1913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4EE40D" w14:textId="53CB4609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21)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уповноважених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Національним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банком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встановленому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законодавством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порядку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банків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в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держава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володіє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часткою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статутного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капіталу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розмірі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понад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75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відсотків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орендують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майно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було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закріплене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праві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господарського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Національним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банком і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передане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сфери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управління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інших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державних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власність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закріплене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праві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господарського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Національним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банком,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цільовим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функціональним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призначенням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зберігання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запасів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готівки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Національного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банку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технологічних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процесів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щодо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готівкового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обігу</w:t>
            </w:r>
            <w:proofErr w:type="spellEnd"/>
          </w:p>
          <w:p w14:paraId="440E62AF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ECA684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0,01</w:t>
            </w:r>
          </w:p>
        </w:tc>
      </w:tr>
      <w:tr w:rsidR="00D225D6" w:rsidRPr="00757C6E" w14:paraId="5CE0CF07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448555B" w14:textId="384AA1B5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D5100E" w:rsidRPr="00757C6E">
              <w:rPr>
                <w:rFonts w:eastAsia="Times New Roman" w:cs="Times New Roman"/>
                <w:sz w:val="26"/>
                <w:szCs w:val="26"/>
                <w:lang w:val="uk-UA" w:eastAsia="ru-RU"/>
              </w:rPr>
              <w:t>2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оренда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юридичними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фізичними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особами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облаштування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 закладах</w:t>
            </w:r>
            <w:proofErr w:type="gram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охорони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здоров’я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кімнат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відпочинку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сімейних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кімнат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перебування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них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безоплатній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основі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перебувають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лікуванні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цьому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закладі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членів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їх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сімей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час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лікування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таких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)</w:t>
            </w:r>
          </w:p>
          <w:p w14:paraId="083C71FB" w14:textId="739AE5E8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1ED6FA5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0,01</w:t>
            </w:r>
          </w:p>
        </w:tc>
      </w:tr>
      <w:tr w:rsidR="00D225D6" w:rsidRPr="00757C6E" w14:paraId="5C36AD3A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376A64" w14:textId="71F6C2C4" w:rsidR="00D225D6" w:rsidRPr="00C91D06" w:rsidRDefault="00D5100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val="uk-UA" w:eastAsia="ru-RU"/>
              </w:rPr>
              <w:t>2</w:t>
            </w:r>
            <w:r w:rsidR="0089727A">
              <w:rPr>
                <w:rFonts w:eastAsia="Times New Roman" w:cs="Times New Roman"/>
                <w:sz w:val="26"/>
                <w:szCs w:val="26"/>
                <w:lang w:val="uk-UA" w:eastAsia="ru-RU"/>
              </w:rPr>
              <w:t>3</w:t>
            </w:r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оренда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релігійними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організаціями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релігійних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обрядів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церемоній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момент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введення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дію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  <w:hyperlink r:id="rId9" w:tgtFrame="_blank" w:history="1">
              <w:r w:rsidR="00D225D6" w:rsidRPr="00757C6E">
                <w:rPr>
                  <w:rFonts w:eastAsia="Times New Roman" w:cs="Times New Roman"/>
                  <w:sz w:val="26"/>
                  <w:szCs w:val="26"/>
                  <w:lang w:eastAsia="ru-RU"/>
                </w:rPr>
                <w:t xml:space="preserve">Закону </w:t>
              </w:r>
              <w:proofErr w:type="spellStart"/>
              <w:r w:rsidR="00D225D6" w:rsidRPr="00757C6E">
                <w:rPr>
                  <w:rFonts w:eastAsia="Times New Roman" w:cs="Times New Roman"/>
                  <w:sz w:val="26"/>
                  <w:szCs w:val="26"/>
                  <w:lang w:eastAsia="ru-RU"/>
                </w:rPr>
                <w:t>України</w:t>
              </w:r>
              <w:proofErr w:type="spellEnd"/>
            </w:hyperlink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 “Про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оренду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державного та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комунального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майна”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безоплатно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використовували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об’єкт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оренди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підставі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договору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позички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іншого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договору для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релігійних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обрядів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церемоній</w:t>
            </w:r>
            <w:proofErr w:type="spellEnd"/>
          </w:p>
          <w:p w14:paraId="37732153" w14:textId="14EF6BA0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D24890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0,01</w:t>
            </w:r>
          </w:p>
        </w:tc>
      </w:tr>
      <w:tr w:rsidR="00D225D6" w:rsidRPr="00757C6E" w14:paraId="568220D0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EDFF49" w14:textId="508AD9FA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89727A">
              <w:rPr>
                <w:rFonts w:eastAsia="Times New Roman" w:cs="Times New Roman"/>
                <w:sz w:val="26"/>
                <w:szCs w:val="26"/>
                <w:lang w:val="uk-UA" w:eastAsia="ru-RU"/>
              </w:rPr>
              <w:t>4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транспортних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підприємств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з:</w:t>
            </w:r>
          </w:p>
          <w:p w14:paraId="38A08002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BA2D3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348978CC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AFEA85" w14:textId="3F44B0E1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перевезення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пасажирів</w:t>
            </w:r>
            <w:proofErr w:type="spellEnd"/>
          </w:p>
          <w:p w14:paraId="5931B330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B428AE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</w:tr>
      <w:tr w:rsidR="00D225D6" w:rsidRPr="00757C6E" w14:paraId="7AED56FD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856D79" w14:textId="57E9AC53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перевезення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вантажів</w:t>
            </w:r>
            <w:proofErr w:type="spellEnd"/>
          </w:p>
          <w:p w14:paraId="18EBFEEE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9FBB9E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18</w:t>
            </w:r>
          </w:p>
        </w:tc>
      </w:tr>
      <w:tr w:rsidR="00D225D6" w:rsidRPr="00757C6E" w14:paraId="322B6E2F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C9844B" w14:textId="1CEADA86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89727A">
              <w:rPr>
                <w:rFonts w:eastAsia="Times New Roman" w:cs="Times New Roman"/>
                <w:sz w:val="26"/>
                <w:szCs w:val="26"/>
                <w:lang w:val="uk-UA" w:eastAsia="ru-RU"/>
              </w:rPr>
              <w:t>5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творчих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спілок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творчих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майстерень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об’єднань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благодійних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релігійних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релігійних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обрядів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церемоній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використовується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провадження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7E2F29C2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261EF6F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222CB542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E13169" w14:textId="589B75CA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більш</w:t>
            </w:r>
            <w:proofErr w:type="spellEnd"/>
            <w:r w:rsidR="009B0EF8">
              <w:rPr>
                <w:rFonts w:eastAsia="Times New Roman" w:cs="Times New Roman"/>
                <w:sz w:val="26"/>
                <w:szCs w:val="26"/>
                <w:lang w:val="uk-UA" w:eastAsia="ru-RU"/>
              </w:rPr>
              <w:t>е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B0EF8">
              <w:rPr>
                <w:rFonts w:eastAsia="Times New Roman" w:cs="Times New Roman"/>
                <w:sz w:val="26"/>
                <w:szCs w:val="26"/>
                <w:lang w:val="uk-UA" w:eastAsia="ru-RU"/>
              </w:rPr>
              <w:t>ніж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50 кв.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472EDA77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B7FD574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225D6" w:rsidRPr="00757C6E" w14:paraId="1D6D5018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E4AD" w14:textId="2FDD4D42" w:rsidR="00D225D6" w:rsidRPr="009B0EF8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частині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50 кв.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28327108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270165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25D6" w:rsidRPr="00757C6E" w14:paraId="62CAC1B5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F402B9C" w14:textId="11A39AF7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  <w:r w:rsidR="0089727A">
              <w:rPr>
                <w:rFonts w:eastAsia="Times New Roman" w:cs="Times New Roman"/>
                <w:sz w:val="26"/>
                <w:szCs w:val="26"/>
                <w:lang w:val="uk-UA" w:eastAsia="ru-RU"/>
              </w:rPr>
              <w:t>6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приймальні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народного депутата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України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депутата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місцевої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ради, у тому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числі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коли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договір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від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імені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депутата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укладається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громадською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організацією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інтересах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депутата і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його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депутатської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приймальні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випадків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коли в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інтересах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народного депутата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України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діє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уповноважений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орган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Верховної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Ради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України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в такому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разі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застосовується</w:t>
            </w:r>
            <w:proofErr w:type="spellEnd"/>
            <w:r w:rsidRPr="00757C6E">
              <w:rPr>
                <w:rFonts w:cs="Times New Roman"/>
                <w:sz w:val="26"/>
                <w:szCs w:val="26"/>
              </w:rPr>
              <w:fldChar w:fldCharType="begin"/>
            </w:r>
            <w:r w:rsidRPr="00757C6E">
              <w:rPr>
                <w:rFonts w:cs="Times New Roman"/>
                <w:sz w:val="26"/>
                <w:szCs w:val="26"/>
              </w:rPr>
              <w:instrText>HYPERLINK "https://zakon.rada.gov.ua/laws/show/630-2021-%D0%BF/print" \l "n49"</w:instrText>
            </w:r>
            <w:r w:rsidRPr="00757C6E">
              <w:rPr>
                <w:rFonts w:cs="Times New Roman"/>
                <w:sz w:val="26"/>
                <w:szCs w:val="26"/>
              </w:rPr>
            </w:r>
            <w:r w:rsidRPr="00757C6E">
              <w:rPr>
                <w:rFonts w:cs="Times New Roman"/>
                <w:sz w:val="26"/>
                <w:szCs w:val="26"/>
              </w:rPr>
              <w:fldChar w:fldCharType="separate"/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 пункт 13</w:t>
            </w:r>
            <w:r w:rsidRPr="00757C6E">
              <w:rPr>
                <w:rFonts w:cs="Times New Roman"/>
                <w:sz w:val="26"/>
                <w:szCs w:val="26"/>
              </w:rPr>
              <w:fldChar w:fldCharType="end"/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цієї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Методики):</w:t>
            </w:r>
          </w:p>
          <w:p w14:paraId="05A65861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99226E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33B0B311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9D1D9E" w14:textId="6EF7931C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більш</w:t>
            </w:r>
            <w:proofErr w:type="spellEnd"/>
            <w:r w:rsidR="00C91D06">
              <w:rPr>
                <w:rFonts w:eastAsia="Times New Roman" w:cs="Times New Roman"/>
                <w:sz w:val="26"/>
                <w:szCs w:val="26"/>
                <w:lang w:val="uk-UA" w:eastAsia="ru-RU"/>
              </w:rPr>
              <w:t>е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91D06">
              <w:rPr>
                <w:rFonts w:eastAsia="Times New Roman" w:cs="Times New Roman"/>
                <w:sz w:val="26"/>
                <w:szCs w:val="26"/>
                <w:lang w:val="uk-UA" w:eastAsia="ru-RU"/>
              </w:rPr>
              <w:t>ніж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50 кв.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17761E3D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72C9B3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757C6E" w14:paraId="1A55282F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D830D56" w14:textId="3F18A777" w:rsidR="00D225D6" w:rsidRPr="00C91D06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частині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50 кв.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1CD26141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E9B86E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25D6" w:rsidRPr="00757C6E" w14:paraId="4A3AC965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780907" w14:textId="6551A97A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89727A">
              <w:rPr>
                <w:rFonts w:eastAsia="Times New Roman" w:cs="Times New Roman"/>
                <w:sz w:val="26"/>
                <w:szCs w:val="26"/>
                <w:lang w:val="uk-UA" w:eastAsia="ru-RU"/>
              </w:rPr>
              <w:t>7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громадських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об’єднань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інвалідністю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використовується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провадження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4FF34CD8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D7D608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0BC7C5AF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B0A0FB" w14:textId="330CC70B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більш</w:t>
            </w:r>
            <w:proofErr w:type="spellEnd"/>
            <w:r w:rsidR="00C91D06">
              <w:rPr>
                <w:rFonts w:eastAsia="Times New Roman" w:cs="Times New Roman"/>
                <w:sz w:val="26"/>
                <w:szCs w:val="26"/>
                <w:lang w:val="uk-UA" w:eastAsia="ru-RU"/>
              </w:rPr>
              <w:t>е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91D06">
              <w:rPr>
                <w:rFonts w:eastAsia="Times New Roman" w:cs="Times New Roman"/>
                <w:sz w:val="26"/>
                <w:szCs w:val="26"/>
                <w:lang w:val="uk-UA" w:eastAsia="ru-RU"/>
              </w:rPr>
              <w:t>ніж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100 кв.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4C4D1563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3A4DCF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225D6" w:rsidRPr="00757C6E" w14:paraId="1211821F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2B91C3" w14:textId="4546903F" w:rsidR="00D225D6" w:rsidRPr="00C91D06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частині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100 кв.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09F788FE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4F3783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25D6" w:rsidRPr="00757C6E" w14:paraId="0A7BC54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A0D3DF" w14:textId="4B426432" w:rsidR="00D225D6" w:rsidRDefault="0089727A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val="uk-UA" w:eastAsia="ru-RU"/>
              </w:rPr>
              <w:t>28</w:t>
            </w:r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оренда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громадськими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організаціями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ветеранів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реабілітаційних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ветеранів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44B99788" w14:textId="77777777" w:rsidR="00C91D06" w:rsidRPr="00C91D06" w:rsidRDefault="00C91D0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F7260F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17F253FE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6BFE41" w14:textId="3A822FB6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більш</w:t>
            </w:r>
            <w:proofErr w:type="spellEnd"/>
            <w:r w:rsidR="00C91D06">
              <w:rPr>
                <w:rFonts w:eastAsia="Times New Roman" w:cs="Times New Roman"/>
                <w:sz w:val="26"/>
                <w:szCs w:val="26"/>
                <w:lang w:val="uk-UA" w:eastAsia="ru-RU"/>
              </w:rPr>
              <w:t>е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91D06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ніж 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100 кв.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494BCE45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C34FD9C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225D6" w:rsidRPr="00757C6E" w14:paraId="150ACC22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40C2DF" w14:textId="74A6FD0B" w:rsidR="00D225D6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частині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100 кв.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468CF6BD" w14:textId="2F6D2D0A" w:rsidR="00C91D06" w:rsidRPr="00C91D06" w:rsidRDefault="00C91D0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E284BB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25D6" w:rsidRPr="00757C6E" w14:paraId="38A019C9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57B6EC" w14:textId="572DD5D9" w:rsidR="00D225D6" w:rsidRPr="00757C6E" w:rsidRDefault="0089727A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val="uk-UA" w:eastAsia="ru-RU"/>
              </w:rPr>
              <w:t>29</w:t>
            </w:r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оренда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реабілітаційними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установами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інвалідністю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інвалідністю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таких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реабілітаційних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="00D225D6"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  <w:p w14:paraId="5A45F1CB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59D07D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757C6E" w14:paraId="498C06D4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B40FA47" w14:textId="41CC64A9" w:rsidR="00D225D6" w:rsidRPr="00757C6E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більш</w:t>
            </w:r>
            <w:proofErr w:type="spellEnd"/>
            <w:r w:rsidR="00C91D06">
              <w:rPr>
                <w:rFonts w:eastAsia="Times New Roman" w:cs="Times New Roman"/>
                <w:sz w:val="26"/>
                <w:szCs w:val="26"/>
                <w:lang w:val="uk-UA" w:eastAsia="ru-RU"/>
              </w:rPr>
              <w:t>е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91D06">
              <w:rPr>
                <w:rFonts w:eastAsia="Times New Roman" w:cs="Times New Roman"/>
                <w:sz w:val="26"/>
                <w:szCs w:val="26"/>
                <w:lang w:val="uk-UA" w:eastAsia="ru-RU"/>
              </w:rPr>
              <w:t>ніж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100 кв.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710A0DB5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BCC2DB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225D6" w:rsidRPr="00757C6E" w14:paraId="1C93D3DE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4DBCFD" w14:textId="56A4358B" w:rsidR="00D225D6" w:rsidRPr="00C91D06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частині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100 кв.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1BEEC07E" w14:textId="77777777" w:rsidR="00757C6E" w:rsidRPr="00757C6E" w:rsidRDefault="00757C6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5B7492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25D6" w:rsidRPr="00757C6E" w14:paraId="45D15056" w14:textId="77777777" w:rsidTr="00D5100E">
        <w:tc>
          <w:tcPr>
            <w:tcW w:w="38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3A26B" w14:textId="6DF21733" w:rsidR="00D225D6" w:rsidRPr="00C91D06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="0089727A">
              <w:rPr>
                <w:rFonts w:eastAsia="Times New Roman" w:cs="Times New Roman"/>
                <w:sz w:val="26"/>
                <w:szCs w:val="26"/>
                <w:lang w:val="uk-UA" w:eastAsia="ru-RU"/>
              </w:rPr>
              <w:t>0</w:t>
            </w: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інше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використання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нерухомого</w:t>
            </w:r>
            <w:proofErr w:type="spellEnd"/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майна</w:t>
            </w:r>
          </w:p>
        </w:tc>
        <w:tc>
          <w:tcPr>
            <w:tcW w:w="116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EADA9B" w14:textId="77777777" w:rsidR="00D225D6" w:rsidRPr="00757C6E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757C6E">
              <w:rPr>
                <w:rFonts w:eastAsia="Times New Roman" w:cs="Times New Roman"/>
                <w:sz w:val="26"/>
                <w:szCs w:val="26"/>
                <w:lang w:eastAsia="ru-RU"/>
              </w:rPr>
              <w:t>15</w:t>
            </w:r>
          </w:p>
        </w:tc>
      </w:tr>
    </w:tbl>
    <w:p w14:paraId="0A03DFE4" w14:textId="77777777" w:rsidR="00D225D6" w:rsidRPr="00757C6E" w:rsidRDefault="00D225D6" w:rsidP="00D225D6">
      <w:pPr>
        <w:shd w:val="clear" w:color="auto" w:fill="FFFFFF"/>
        <w:spacing w:after="0"/>
        <w:rPr>
          <w:rFonts w:eastAsia="Times New Roman" w:cs="Times New Roman"/>
          <w:sz w:val="26"/>
          <w:szCs w:val="26"/>
          <w:lang w:eastAsia="ru-RU"/>
        </w:rPr>
      </w:pPr>
      <w:bookmarkStart w:id="2" w:name="n81"/>
      <w:bookmarkEnd w:id="2"/>
      <w:r w:rsidRPr="00757C6E">
        <w:rPr>
          <w:rFonts w:eastAsia="Times New Roman" w:cs="Times New Roman"/>
          <w:sz w:val="26"/>
          <w:szCs w:val="26"/>
          <w:lang w:eastAsia="ru-RU"/>
        </w:rPr>
        <w:t>_________</w:t>
      </w:r>
      <w:r w:rsidRPr="00757C6E">
        <w:rPr>
          <w:rFonts w:eastAsia="Times New Roman" w:cs="Times New Roman"/>
          <w:sz w:val="26"/>
          <w:szCs w:val="26"/>
          <w:lang w:eastAsia="ru-RU"/>
        </w:rPr>
        <w:br/>
        <w:t xml:space="preserve">* </w:t>
      </w:r>
      <w:proofErr w:type="spellStart"/>
      <w:r w:rsidRPr="00757C6E">
        <w:rPr>
          <w:rFonts w:eastAsia="Times New Roman" w:cs="Times New Roman"/>
          <w:sz w:val="26"/>
          <w:szCs w:val="26"/>
          <w:lang w:eastAsia="ru-RU"/>
        </w:rPr>
        <w:t>Орендна</w:t>
      </w:r>
      <w:proofErr w:type="spellEnd"/>
      <w:r w:rsidRPr="00757C6E">
        <w:rPr>
          <w:rFonts w:eastAsia="Times New Roman" w:cs="Times New Roman"/>
          <w:sz w:val="26"/>
          <w:szCs w:val="26"/>
          <w:lang w:eastAsia="ru-RU"/>
        </w:rPr>
        <w:t xml:space="preserve"> ставка </w:t>
      </w:r>
      <w:proofErr w:type="spellStart"/>
      <w:r w:rsidRPr="00757C6E">
        <w:rPr>
          <w:rFonts w:eastAsia="Times New Roman" w:cs="Times New Roman"/>
          <w:sz w:val="26"/>
          <w:szCs w:val="26"/>
          <w:lang w:eastAsia="ru-RU"/>
        </w:rPr>
        <w:t>застосовується</w:t>
      </w:r>
      <w:proofErr w:type="spellEnd"/>
      <w:r w:rsidRPr="00757C6E">
        <w:rPr>
          <w:rFonts w:eastAsia="Times New Roman" w:cs="Times New Roman"/>
          <w:sz w:val="26"/>
          <w:szCs w:val="26"/>
          <w:lang w:eastAsia="ru-RU"/>
        </w:rPr>
        <w:t xml:space="preserve"> до </w:t>
      </w:r>
      <w:proofErr w:type="spellStart"/>
      <w:r w:rsidRPr="00757C6E">
        <w:rPr>
          <w:rFonts w:eastAsia="Times New Roman" w:cs="Times New Roman"/>
          <w:sz w:val="26"/>
          <w:szCs w:val="26"/>
          <w:lang w:eastAsia="ru-RU"/>
        </w:rPr>
        <w:t>всієї</w:t>
      </w:r>
      <w:proofErr w:type="spellEnd"/>
      <w:r w:rsidRPr="00757C6E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57C6E">
        <w:rPr>
          <w:rFonts w:eastAsia="Times New Roman" w:cs="Times New Roman"/>
          <w:sz w:val="26"/>
          <w:szCs w:val="26"/>
          <w:lang w:eastAsia="ru-RU"/>
        </w:rPr>
        <w:t>площі</w:t>
      </w:r>
      <w:proofErr w:type="spellEnd"/>
      <w:r w:rsidRPr="00757C6E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57C6E">
        <w:rPr>
          <w:rFonts w:eastAsia="Times New Roman" w:cs="Times New Roman"/>
          <w:sz w:val="26"/>
          <w:szCs w:val="26"/>
          <w:lang w:eastAsia="ru-RU"/>
        </w:rPr>
        <w:t>приміщення</w:t>
      </w:r>
      <w:proofErr w:type="spellEnd"/>
      <w:r w:rsidRPr="00757C6E">
        <w:rPr>
          <w:rFonts w:eastAsia="Times New Roman" w:cs="Times New Roman"/>
          <w:sz w:val="26"/>
          <w:szCs w:val="26"/>
          <w:lang w:eastAsia="ru-RU"/>
        </w:rPr>
        <w:t xml:space="preserve">, в </w:t>
      </w:r>
      <w:proofErr w:type="spellStart"/>
      <w:r w:rsidRPr="00757C6E">
        <w:rPr>
          <w:rFonts w:eastAsia="Times New Roman" w:cs="Times New Roman"/>
          <w:sz w:val="26"/>
          <w:szCs w:val="26"/>
          <w:lang w:eastAsia="ru-RU"/>
        </w:rPr>
        <w:t>якому</w:t>
      </w:r>
      <w:proofErr w:type="spellEnd"/>
      <w:r w:rsidRPr="00757C6E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57C6E">
        <w:rPr>
          <w:rFonts w:eastAsia="Times New Roman" w:cs="Times New Roman"/>
          <w:sz w:val="26"/>
          <w:szCs w:val="26"/>
          <w:lang w:eastAsia="ru-RU"/>
        </w:rPr>
        <w:t>здійснюється</w:t>
      </w:r>
      <w:proofErr w:type="spellEnd"/>
      <w:r w:rsidRPr="00757C6E">
        <w:rPr>
          <w:rFonts w:eastAsia="Times New Roman" w:cs="Times New Roman"/>
          <w:sz w:val="26"/>
          <w:szCs w:val="26"/>
          <w:lang w:eastAsia="ru-RU"/>
        </w:rPr>
        <w:t xml:space="preserve"> продаж </w:t>
      </w:r>
      <w:proofErr w:type="spellStart"/>
      <w:r w:rsidRPr="00757C6E">
        <w:rPr>
          <w:rFonts w:eastAsia="Times New Roman" w:cs="Times New Roman"/>
          <w:sz w:val="26"/>
          <w:szCs w:val="26"/>
          <w:lang w:eastAsia="ru-RU"/>
        </w:rPr>
        <w:t>алкогольних</w:t>
      </w:r>
      <w:proofErr w:type="spellEnd"/>
      <w:r w:rsidRPr="00757C6E">
        <w:rPr>
          <w:rFonts w:eastAsia="Times New Roman" w:cs="Times New Roman"/>
          <w:sz w:val="26"/>
          <w:szCs w:val="26"/>
          <w:lang w:eastAsia="ru-RU"/>
        </w:rPr>
        <w:t xml:space="preserve"> та/</w:t>
      </w:r>
      <w:proofErr w:type="spellStart"/>
      <w:r w:rsidRPr="00757C6E">
        <w:rPr>
          <w:rFonts w:eastAsia="Times New Roman" w:cs="Times New Roman"/>
          <w:sz w:val="26"/>
          <w:szCs w:val="26"/>
          <w:lang w:eastAsia="ru-RU"/>
        </w:rPr>
        <w:t>або</w:t>
      </w:r>
      <w:proofErr w:type="spellEnd"/>
      <w:r w:rsidRPr="00757C6E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57C6E">
        <w:rPr>
          <w:rFonts w:eastAsia="Times New Roman" w:cs="Times New Roman"/>
          <w:sz w:val="26"/>
          <w:szCs w:val="26"/>
          <w:lang w:eastAsia="ru-RU"/>
        </w:rPr>
        <w:t>тютюнових</w:t>
      </w:r>
      <w:proofErr w:type="spellEnd"/>
      <w:r w:rsidRPr="00757C6E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57C6E">
        <w:rPr>
          <w:rFonts w:eastAsia="Times New Roman" w:cs="Times New Roman"/>
          <w:sz w:val="26"/>
          <w:szCs w:val="26"/>
          <w:lang w:eastAsia="ru-RU"/>
        </w:rPr>
        <w:t>виробів</w:t>
      </w:r>
      <w:proofErr w:type="spellEnd"/>
      <w:r w:rsidRPr="00757C6E">
        <w:rPr>
          <w:rFonts w:eastAsia="Times New Roman" w:cs="Times New Roman"/>
          <w:sz w:val="26"/>
          <w:szCs w:val="26"/>
          <w:lang w:eastAsia="ru-RU"/>
        </w:rPr>
        <w:t>.</w:t>
      </w:r>
    </w:p>
    <w:p w14:paraId="51B0EFD7" w14:textId="77777777" w:rsidR="00D225D6" w:rsidRPr="00D225D6" w:rsidRDefault="00000000" w:rsidP="00D225D6">
      <w:pPr>
        <w:spacing w:after="0"/>
        <w:rPr>
          <w:rFonts w:eastAsia="Times New Roman" w:cs="Times New Roman"/>
          <w:szCs w:val="28"/>
          <w:lang w:eastAsia="ru-RU"/>
        </w:rPr>
      </w:pPr>
      <w:bookmarkStart w:id="3" w:name="n246"/>
      <w:bookmarkEnd w:id="3"/>
      <w:r>
        <w:rPr>
          <w:rFonts w:eastAsia="Times New Roman" w:cs="Times New Roman"/>
          <w:szCs w:val="28"/>
          <w:lang w:eastAsia="ru-RU"/>
        </w:rPr>
        <w:pict w14:anchorId="6A4F54DB">
          <v:rect id="_x0000_i1026" style="width:0;height:0" o:hrstd="t" o:hrnoshade="t" o:hr="t" fillcolor="black" stroked="f"/>
        </w:pict>
      </w:r>
    </w:p>
    <w:p w14:paraId="6D48DE6B" w14:textId="704931FF" w:rsidR="0088143D" w:rsidRDefault="00D225D6" w:rsidP="00D225D6">
      <w:pPr>
        <w:spacing w:after="0"/>
        <w:rPr>
          <w:rFonts w:eastAsia="Times New Roman" w:cs="Times New Roman"/>
          <w:szCs w:val="28"/>
          <w:lang w:eastAsia="ru-RU"/>
        </w:rPr>
      </w:pPr>
      <w:r w:rsidRPr="00D225D6">
        <w:rPr>
          <w:rFonts w:eastAsia="Times New Roman" w:cs="Times New Roman"/>
          <w:szCs w:val="28"/>
          <w:lang w:eastAsia="ru-RU"/>
        </w:rPr>
        <w:br/>
      </w:r>
    </w:p>
    <w:p w14:paraId="6360B718" w14:textId="77777777" w:rsidR="005A185B" w:rsidRPr="005A185B" w:rsidRDefault="005A185B" w:rsidP="00D225D6">
      <w:pPr>
        <w:spacing w:after="0"/>
        <w:rPr>
          <w:rFonts w:eastAsia="Times New Roman" w:cs="Times New Roman"/>
          <w:szCs w:val="28"/>
          <w:lang w:val="uk-UA" w:eastAsia="ru-RU"/>
        </w:rPr>
      </w:pPr>
    </w:p>
    <w:p w14:paraId="37D7B759" w14:textId="69A1918B" w:rsidR="0088143D" w:rsidRDefault="0088143D" w:rsidP="00D225D6">
      <w:pPr>
        <w:spacing w:after="0"/>
        <w:rPr>
          <w:rFonts w:eastAsia="Times New Roman" w:cs="Times New Roman"/>
          <w:szCs w:val="28"/>
          <w:lang w:eastAsia="ru-RU"/>
        </w:rPr>
      </w:pPr>
    </w:p>
    <w:sectPr w:rsidR="0088143D" w:rsidSect="00757C6E">
      <w:headerReference w:type="default" r:id="rId10"/>
      <w:footerReference w:type="default" r:id="rId11"/>
      <w:headerReference w:type="first" r:id="rId12"/>
      <w:pgSz w:w="11906" w:h="16838" w:code="9"/>
      <w:pgMar w:top="28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92F8F" w14:textId="77777777" w:rsidR="00932E99" w:rsidRDefault="00932E99" w:rsidP="00D93BBC">
      <w:pPr>
        <w:spacing w:after="0"/>
      </w:pPr>
      <w:r>
        <w:separator/>
      </w:r>
    </w:p>
  </w:endnote>
  <w:endnote w:type="continuationSeparator" w:id="0">
    <w:p w14:paraId="52484FF7" w14:textId="77777777" w:rsidR="00932E99" w:rsidRDefault="00932E99" w:rsidP="00D93B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DDCF2" w14:textId="4D400D2C" w:rsidR="00D93BBC" w:rsidRDefault="00D93BBC" w:rsidP="00AD3FFD">
    <w:pPr>
      <w:pStyle w:val="a7"/>
    </w:pPr>
  </w:p>
  <w:p w14:paraId="68C45D09" w14:textId="77777777" w:rsidR="00D93BBC" w:rsidRDefault="00D93B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8B846" w14:textId="77777777" w:rsidR="00932E99" w:rsidRDefault="00932E99" w:rsidP="00D93BBC">
      <w:pPr>
        <w:spacing w:after="0"/>
      </w:pPr>
      <w:r>
        <w:separator/>
      </w:r>
    </w:p>
  </w:footnote>
  <w:footnote w:type="continuationSeparator" w:id="0">
    <w:p w14:paraId="008991C9" w14:textId="77777777" w:rsidR="00932E99" w:rsidRDefault="00932E99" w:rsidP="00D93BB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5249595"/>
      <w:docPartObj>
        <w:docPartGallery w:val="Page Numbers (Top of Page)"/>
        <w:docPartUnique/>
      </w:docPartObj>
    </w:sdtPr>
    <w:sdtContent>
      <w:p w14:paraId="193CDE32" w14:textId="3E1D543D" w:rsidR="00757C6E" w:rsidRDefault="00757C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F0D9E8" w14:textId="77777777" w:rsidR="00757C6E" w:rsidRDefault="00757C6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8D726" w14:textId="10B7BA0E" w:rsidR="00AD3FFD" w:rsidRDefault="00AD3FFD">
    <w:pPr>
      <w:pStyle w:val="a5"/>
      <w:jc w:val="center"/>
    </w:pPr>
  </w:p>
  <w:p w14:paraId="3FEA7BD0" w14:textId="77777777" w:rsidR="00AD3FFD" w:rsidRDefault="00AD3F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32" style="width:0;height:0" o:bullet="t" o:hrstd="t" o:hrnoshade="t" o:hr="t" fillcolor="black" stroked="f"/>
    </w:pict>
  </w:numPicBullet>
  <w:abstractNum w:abstractNumId="0" w15:restartNumberingAfterBreak="0">
    <w:nsid w:val="4F82701F"/>
    <w:multiLevelType w:val="hybridMultilevel"/>
    <w:tmpl w:val="6100BA40"/>
    <w:lvl w:ilvl="0" w:tplc="D8C6B9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F6A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9E0E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B220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EEA3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4847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DE53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2E6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9650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87891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5D6"/>
    <w:rsid w:val="000278E6"/>
    <w:rsid w:val="000418D4"/>
    <w:rsid w:val="000801F7"/>
    <w:rsid w:val="000829E6"/>
    <w:rsid w:val="00084575"/>
    <w:rsid w:val="00094E34"/>
    <w:rsid w:val="000B2C9E"/>
    <w:rsid w:val="000C2EBC"/>
    <w:rsid w:val="000C5F2B"/>
    <w:rsid w:val="000D629C"/>
    <w:rsid w:val="000E629F"/>
    <w:rsid w:val="0010352B"/>
    <w:rsid w:val="00107C95"/>
    <w:rsid w:val="001168F3"/>
    <w:rsid w:val="00122C5C"/>
    <w:rsid w:val="001335F7"/>
    <w:rsid w:val="00135155"/>
    <w:rsid w:val="00185B27"/>
    <w:rsid w:val="00185F18"/>
    <w:rsid w:val="001976D4"/>
    <w:rsid w:val="001A5BBF"/>
    <w:rsid w:val="002126D9"/>
    <w:rsid w:val="0021592B"/>
    <w:rsid w:val="002230B8"/>
    <w:rsid w:val="00225F1F"/>
    <w:rsid w:val="002342CC"/>
    <w:rsid w:val="00251E43"/>
    <w:rsid w:val="00264731"/>
    <w:rsid w:val="00276595"/>
    <w:rsid w:val="00291B33"/>
    <w:rsid w:val="00294B06"/>
    <w:rsid w:val="0029784E"/>
    <w:rsid w:val="002A0CA7"/>
    <w:rsid w:val="002A22F0"/>
    <w:rsid w:val="002B77C2"/>
    <w:rsid w:val="0030644F"/>
    <w:rsid w:val="003104D6"/>
    <w:rsid w:val="00313EB7"/>
    <w:rsid w:val="00323F46"/>
    <w:rsid w:val="00327558"/>
    <w:rsid w:val="00332C71"/>
    <w:rsid w:val="003473CD"/>
    <w:rsid w:val="00353336"/>
    <w:rsid w:val="00354580"/>
    <w:rsid w:val="00355D77"/>
    <w:rsid w:val="00390E15"/>
    <w:rsid w:val="0039177A"/>
    <w:rsid w:val="0039794C"/>
    <w:rsid w:val="003A3EDB"/>
    <w:rsid w:val="003C22F3"/>
    <w:rsid w:val="003C2922"/>
    <w:rsid w:val="003C4BB4"/>
    <w:rsid w:val="003C5C19"/>
    <w:rsid w:val="003D6D28"/>
    <w:rsid w:val="003E6CD1"/>
    <w:rsid w:val="003F5116"/>
    <w:rsid w:val="00403877"/>
    <w:rsid w:val="00426B77"/>
    <w:rsid w:val="00457C94"/>
    <w:rsid w:val="00473959"/>
    <w:rsid w:val="00480B4E"/>
    <w:rsid w:val="004B026E"/>
    <w:rsid w:val="004D1A75"/>
    <w:rsid w:val="00506CC5"/>
    <w:rsid w:val="00517512"/>
    <w:rsid w:val="00581ACE"/>
    <w:rsid w:val="005876EC"/>
    <w:rsid w:val="005A185B"/>
    <w:rsid w:val="005C01EE"/>
    <w:rsid w:val="0063551B"/>
    <w:rsid w:val="006500FA"/>
    <w:rsid w:val="006567DD"/>
    <w:rsid w:val="00657190"/>
    <w:rsid w:val="006A6A17"/>
    <w:rsid w:val="006C0B77"/>
    <w:rsid w:val="006C7E7A"/>
    <w:rsid w:val="006E18F1"/>
    <w:rsid w:val="006F4911"/>
    <w:rsid w:val="0072359C"/>
    <w:rsid w:val="007339C0"/>
    <w:rsid w:val="007521DC"/>
    <w:rsid w:val="007570C4"/>
    <w:rsid w:val="00757C6E"/>
    <w:rsid w:val="007B0E23"/>
    <w:rsid w:val="007B6627"/>
    <w:rsid w:val="007B670D"/>
    <w:rsid w:val="007C0AB6"/>
    <w:rsid w:val="007D43C4"/>
    <w:rsid w:val="00815EDB"/>
    <w:rsid w:val="00817184"/>
    <w:rsid w:val="0081734E"/>
    <w:rsid w:val="00820ED1"/>
    <w:rsid w:val="008242FF"/>
    <w:rsid w:val="0086191B"/>
    <w:rsid w:val="00865701"/>
    <w:rsid w:val="00870751"/>
    <w:rsid w:val="0087111A"/>
    <w:rsid w:val="0088143D"/>
    <w:rsid w:val="0089727A"/>
    <w:rsid w:val="008A7EF8"/>
    <w:rsid w:val="008B4D6C"/>
    <w:rsid w:val="008F4D93"/>
    <w:rsid w:val="00900E1B"/>
    <w:rsid w:val="00922C48"/>
    <w:rsid w:val="00932E99"/>
    <w:rsid w:val="00941047"/>
    <w:rsid w:val="009840B3"/>
    <w:rsid w:val="009870BF"/>
    <w:rsid w:val="009970A8"/>
    <w:rsid w:val="00997469"/>
    <w:rsid w:val="009A3B59"/>
    <w:rsid w:val="009B0EF8"/>
    <w:rsid w:val="009B1666"/>
    <w:rsid w:val="009B3DBB"/>
    <w:rsid w:val="00A15EAC"/>
    <w:rsid w:val="00A523CE"/>
    <w:rsid w:val="00A52DE7"/>
    <w:rsid w:val="00A87418"/>
    <w:rsid w:val="00AB10CA"/>
    <w:rsid w:val="00AC5D66"/>
    <w:rsid w:val="00AD3FFD"/>
    <w:rsid w:val="00AE6C1B"/>
    <w:rsid w:val="00AF3B2A"/>
    <w:rsid w:val="00B00D9F"/>
    <w:rsid w:val="00B02403"/>
    <w:rsid w:val="00B2213A"/>
    <w:rsid w:val="00B4022F"/>
    <w:rsid w:val="00B45088"/>
    <w:rsid w:val="00B53769"/>
    <w:rsid w:val="00B66FB6"/>
    <w:rsid w:val="00B70C91"/>
    <w:rsid w:val="00B91014"/>
    <w:rsid w:val="00B915B7"/>
    <w:rsid w:val="00B92264"/>
    <w:rsid w:val="00BA06B2"/>
    <w:rsid w:val="00BB21B0"/>
    <w:rsid w:val="00BB3F8B"/>
    <w:rsid w:val="00BB6758"/>
    <w:rsid w:val="00BB7624"/>
    <w:rsid w:val="00BC4DE5"/>
    <w:rsid w:val="00BE4085"/>
    <w:rsid w:val="00BF0BF1"/>
    <w:rsid w:val="00BF784A"/>
    <w:rsid w:val="00C05C78"/>
    <w:rsid w:val="00C21BD7"/>
    <w:rsid w:val="00C359D5"/>
    <w:rsid w:val="00C50258"/>
    <w:rsid w:val="00C91D06"/>
    <w:rsid w:val="00C927D1"/>
    <w:rsid w:val="00CC2765"/>
    <w:rsid w:val="00CE2345"/>
    <w:rsid w:val="00D0399F"/>
    <w:rsid w:val="00D1042F"/>
    <w:rsid w:val="00D21711"/>
    <w:rsid w:val="00D225D6"/>
    <w:rsid w:val="00D3230F"/>
    <w:rsid w:val="00D46028"/>
    <w:rsid w:val="00D47F9B"/>
    <w:rsid w:val="00D5100E"/>
    <w:rsid w:val="00D614A8"/>
    <w:rsid w:val="00D82466"/>
    <w:rsid w:val="00D93BBC"/>
    <w:rsid w:val="00DC7E27"/>
    <w:rsid w:val="00DE58AA"/>
    <w:rsid w:val="00DF27B8"/>
    <w:rsid w:val="00E003B8"/>
    <w:rsid w:val="00E0463E"/>
    <w:rsid w:val="00E118F7"/>
    <w:rsid w:val="00E22B78"/>
    <w:rsid w:val="00E65649"/>
    <w:rsid w:val="00E70D45"/>
    <w:rsid w:val="00E85FF4"/>
    <w:rsid w:val="00EA1E3B"/>
    <w:rsid w:val="00EA59DF"/>
    <w:rsid w:val="00EB19FF"/>
    <w:rsid w:val="00EC47FE"/>
    <w:rsid w:val="00EC79FB"/>
    <w:rsid w:val="00ED38F0"/>
    <w:rsid w:val="00EE4070"/>
    <w:rsid w:val="00EE425D"/>
    <w:rsid w:val="00EF519D"/>
    <w:rsid w:val="00F12C76"/>
    <w:rsid w:val="00F341E7"/>
    <w:rsid w:val="00F36184"/>
    <w:rsid w:val="00F50C89"/>
    <w:rsid w:val="00F50ED9"/>
    <w:rsid w:val="00F64DA1"/>
    <w:rsid w:val="00F9461C"/>
    <w:rsid w:val="00FA5FF6"/>
    <w:rsid w:val="00FC6426"/>
    <w:rsid w:val="00FD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3C3F0"/>
  <w15:chartTrackingRefBased/>
  <w15:docId w15:val="{F372DFAF-BF51-40C0-AF0B-A84BB9C0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395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395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D93BBC"/>
    <w:pPr>
      <w:tabs>
        <w:tab w:val="center" w:pos="4819"/>
        <w:tab w:val="right" w:pos="9639"/>
      </w:tabs>
      <w:spacing w:after="0"/>
    </w:pPr>
  </w:style>
  <w:style w:type="character" w:customStyle="1" w:styleId="a6">
    <w:name w:val="Верхній колонтитул Знак"/>
    <w:basedOn w:val="a0"/>
    <w:link w:val="a5"/>
    <w:uiPriority w:val="99"/>
    <w:rsid w:val="00D93BBC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3BBC"/>
    <w:pPr>
      <w:tabs>
        <w:tab w:val="center" w:pos="4819"/>
        <w:tab w:val="right" w:pos="9639"/>
      </w:tabs>
      <w:spacing w:after="0"/>
    </w:pPr>
  </w:style>
  <w:style w:type="character" w:customStyle="1" w:styleId="a8">
    <w:name w:val="Нижній колонтитул Знак"/>
    <w:basedOn w:val="a0"/>
    <w:link w:val="a7"/>
    <w:uiPriority w:val="99"/>
    <w:rsid w:val="00D93BBC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D93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1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64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0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5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1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0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60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38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94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13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93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1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32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34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32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45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630-2021-%D0%BF/prin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57-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61FE5-7E4F-4423-A271-8ED8BA73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10025</Words>
  <Characters>5715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</dc:creator>
  <cp:keywords/>
  <dc:description/>
  <cp:lastModifiedBy>Alina</cp:lastModifiedBy>
  <cp:revision>28</cp:revision>
  <cp:lastPrinted>2025-11-13T12:27:00Z</cp:lastPrinted>
  <dcterms:created xsi:type="dcterms:W3CDTF">2025-10-06T11:36:00Z</dcterms:created>
  <dcterms:modified xsi:type="dcterms:W3CDTF">2025-11-13T12:28:00Z</dcterms:modified>
</cp:coreProperties>
</file>